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F0F9" w14:textId="4EA4EA90" w:rsidR="001632AF" w:rsidRPr="003B783C" w:rsidRDefault="003B783C">
      <w:pPr>
        <w:rPr>
          <w:rFonts w:ascii="Times New Roman" w:hAnsi="Times New Roman" w:cs="Times New Roman"/>
          <w:sz w:val="32"/>
          <w:szCs w:val="32"/>
          <w:lang w:val="kk-KZ" w:eastAsia="ar-SA"/>
        </w:rPr>
      </w:pPr>
      <w:r w:rsidRPr="003B783C">
        <w:rPr>
          <w:rFonts w:ascii="Times New Roman" w:hAnsi="Times New Roman" w:cs="Times New Roman"/>
          <w:sz w:val="32"/>
          <w:szCs w:val="32"/>
          <w:lang w:val="kk-KZ"/>
        </w:rPr>
        <w:t xml:space="preserve">9 Дәріс </w:t>
      </w:r>
      <w:r w:rsidRPr="003B783C">
        <w:rPr>
          <w:rFonts w:ascii="Times New Roman" w:hAnsi="Times New Roman" w:cs="Times New Roman"/>
          <w:sz w:val="32"/>
          <w:szCs w:val="32"/>
          <w:lang w:val="kk-KZ"/>
        </w:rPr>
        <w:t>Мемлекетттік д</w:t>
      </w:r>
      <w:r w:rsidRPr="003B783C">
        <w:rPr>
          <w:rFonts w:ascii="Times New Roman" w:hAnsi="Times New Roman" w:cs="Times New Roman"/>
          <w:sz w:val="32"/>
          <w:szCs w:val="32"/>
          <w:lang w:val="kk-KZ" w:eastAsia="ar-SA"/>
        </w:rPr>
        <w:t>ағдарысқа қарсы басқарудың технологиялары</w:t>
      </w:r>
    </w:p>
    <w:p w14:paraId="75176B61" w14:textId="1AAD5321" w:rsidR="003B783C" w:rsidRPr="003B783C" w:rsidRDefault="003B783C">
      <w:pPr>
        <w:rPr>
          <w:rFonts w:ascii="Times New Roman" w:hAnsi="Times New Roman" w:cs="Times New Roman"/>
          <w:sz w:val="32"/>
          <w:szCs w:val="32"/>
          <w:lang w:val="kk-KZ" w:eastAsia="ar-SA"/>
        </w:rPr>
      </w:pPr>
      <w:r w:rsidRPr="003B783C">
        <w:rPr>
          <w:rFonts w:ascii="Times New Roman" w:hAnsi="Times New Roman" w:cs="Times New Roman"/>
          <w:sz w:val="32"/>
          <w:szCs w:val="32"/>
          <w:lang w:val="kk-KZ" w:eastAsia="ar-SA"/>
        </w:rPr>
        <w:t>Сұрақтар:</w:t>
      </w:r>
    </w:p>
    <w:p w14:paraId="64AA9FAB" w14:textId="366824A5" w:rsidR="003B783C" w:rsidRPr="003B783C" w:rsidRDefault="003B783C" w:rsidP="003B783C">
      <w:pPr>
        <w:pStyle w:val="a4"/>
        <w:numPr>
          <w:ilvl w:val="0"/>
          <w:numId w:val="3"/>
        </w:numPr>
        <w:rPr>
          <w:rFonts w:ascii="Times New Roman" w:hAnsi="Times New Roman" w:cs="Times New Roman"/>
          <w:sz w:val="32"/>
          <w:szCs w:val="32"/>
          <w:lang w:val="kk-KZ"/>
        </w:rPr>
      </w:pPr>
      <w:r w:rsidRPr="003B783C">
        <w:rPr>
          <w:rFonts w:ascii="Times New Roman" w:hAnsi="Times New Roman" w:cs="Times New Roman"/>
          <w:sz w:val="32"/>
          <w:szCs w:val="32"/>
          <w:lang w:val="kk-KZ"/>
        </w:rPr>
        <w:t>Мемлекетттік д</w:t>
      </w:r>
      <w:r w:rsidRPr="003B783C">
        <w:rPr>
          <w:rFonts w:ascii="Times New Roman" w:hAnsi="Times New Roman" w:cs="Times New Roman"/>
          <w:sz w:val="32"/>
          <w:szCs w:val="32"/>
          <w:lang w:val="kk-KZ" w:eastAsia="ar-SA"/>
        </w:rPr>
        <w:t>ағдарысқа қарсы басқарудың технологиялары</w:t>
      </w:r>
    </w:p>
    <w:p w14:paraId="4013C715" w14:textId="62963A3B" w:rsidR="003B783C" w:rsidRPr="003B783C" w:rsidRDefault="003B783C" w:rsidP="003B783C">
      <w:pPr>
        <w:pStyle w:val="a4"/>
        <w:numPr>
          <w:ilvl w:val="0"/>
          <w:numId w:val="3"/>
        </w:numPr>
        <w:rPr>
          <w:rFonts w:ascii="Times New Roman" w:hAnsi="Times New Roman" w:cs="Times New Roman"/>
          <w:sz w:val="32"/>
          <w:szCs w:val="32"/>
          <w:lang w:val="kk-KZ"/>
        </w:rPr>
      </w:pPr>
      <w:r w:rsidRPr="003B783C">
        <w:rPr>
          <w:rFonts w:ascii="Times New Roman" w:hAnsi="Times New Roman" w:cs="Times New Roman"/>
          <w:sz w:val="32"/>
          <w:szCs w:val="32"/>
          <w:lang w:val="kk-KZ" w:eastAsia="ar-SA"/>
        </w:rPr>
        <w:t>Б</w:t>
      </w:r>
      <w:r w:rsidRPr="003B783C">
        <w:rPr>
          <w:rFonts w:ascii="Times New Roman" w:hAnsi="Times New Roman" w:cs="Times New Roman"/>
          <w:sz w:val="32"/>
          <w:szCs w:val="32"/>
          <w:lang w:val="kk-KZ" w:eastAsia="ar-SA"/>
        </w:rPr>
        <w:t>асқарудың технологиялары</w:t>
      </w:r>
      <w:r w:rsidRPr="003B783C">
        <w:rPr>
          <w:rFonts w:ascii="Times New Roman" w:hAnsi="Times New Roman" w:cs="Times New Roman"/>
          <w:sz w:val="32"/>
          <w:szCs w:val="32"/>
          <w:lang w:val="kk-KZ" w:eastAsia="ar-SA"/>
        </w:rPr>
        <w:t>ның ерекшеліктері</w:t>
      </w:r>
    </w:p>
    <w:p w14:paraId="0240723A" w14:textId="77777777" w:rsidR="003B783C" w:rsidRPr="003B783C" w:rsidRDefault="003B783C" w:rsidP="003B783C">
      <w:pPr>
        <w:pStyle w:val="a4"/>
        <w:rPr>
          <w:lang w:val="kk-KZ"/>
        </w:rPr>
      </w:pPr>
    </w:p>
    <w:p w14:paraId="72833878" w14:textId="4DA0F3AF" w:rsid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Үшінші мыңжылдықтың басы, барлық болжамдарға қарамастан, өркениеттің эволюциялық-технологиялық дамудың жаңа деңгейіне өтуімен есте қалуы тиіс еді. Алайда барлығы да керісінше болып шықты. ХХІ ғасырда әлем бұрынғы дағдарыстық белгілерден құтыла алмауымен қатар, одан да көлемді экономикалық және қаржылық күйзеліске тап болды.</w:t>
      </w:r>
    </w:p>
    <w:p w14:paraId="4724A5C3"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Дағдырыс [кризис] - мәселенің асқынып, ушығып, басқа мәселелерді кері ысырып, алдыңғы орынға шығатындай деңгейге көтерілу дәрежесі. Ал оның жағымсыз (ұнамсыз) салдарының орнын толтыру оңайға түспейді. Мысалы, саяси, экономикалық, экологиялық және т.б. дағдарыстар.</w:t>
      </w:r>
    </w:p>
    <w:p w14:paraId="63F8082C" w14:textId="77777777" w:rsidR="003B783C" w:rsidRPr="003B783C" w:rsidRDefault="003B783C" w:rsidP="003B783C">
      <w:pPr>
        <w:rPr>
          <w:rFonts w:ascii="Times New Roman" w:hAnsi="Times New Roman" w:cs="Times New Roman"/>
          <w:sz w:val="40"/>
          <w:szCs w:val="40"/>
          <w:lang w:val="kk-KZ"/>
        </w:rPr>
      </w:pPr>
    </w:p>
    <w:p w14:paraId="3D5E7420" w14:textId="77777777" w:rsidR="003B783C" w:rsidRPr="003B783C" w:rsidRDefault="003B783C" w:rsidP="003B783C">
      <w:pPr>
        <w:rPr>
          <w:rFonts w:ascii="Times New Roman" w:hAnsi="Times New Roman" w:cs="Times New Roman"/>
          <w:sz w:val="40"/>
          <w:szCs w:val="40"/>
          <w:lang w:val="kk-KZ"/>
        </w:rPr>
      </w:pPr>
    </w:p>
    <w:p w14:paraId="2027699F" w14:textId="6B99B7EE" w:rsid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 xml:space="preserve">"Дағдарыс" ұғымы қандай да болмасын құбылыстың деградацияға ұшырап өмір сүруі мен қызмет етуі мүмкін емес болатын ерекше күйін сипаттайды. Соңымен, "дағдарыс" ұғымы құбылыстың ішкі ерекшеліктерін бейнелейді: оның табиғи қызмет етуге және эволюцияға қабілетсіздігі, онда өзінің сапаларын, қасиеттерін сақтау мен өсіруге және өзінің негізгі мәнді сипаттамаларын сақтай отырып дамудың </w:t>
      </w:r>
      <w:r w:rsidRPr="003B783C">
        <w:rPr>
          <w:rFonts w:ascii="Times New Roman" w:hAnsi="Times New Roman" w:cs="Times New Roman"/>
          <w:sz w:val="40"/>
          <w:szCs w:val="40"/>
          <w:lang w:val="kk-KZ"/>
        </w:rPr>
        <w:lastRenderedPageBreak/>
        <w:t>мейлінше жоғары сатысына көтерілу мүмкіндіктерінің болмауы. Әрине, дағдарыстың келтіріліп отырған түсіндірмесі тым жалпы бірақ шынайы өмірде кез келген құбылыс белгілі бір кезенде өзінің қайта құрылуы мен қирауы, жоғалуына бастайтын дағдарыстық сатыға өтеді. Сондықтан дағдарыстан шығу жолы құбылыстың сапалы жаңаруында жатыр</w:t>
      </w:r>
    </w:p>
    <w:p w14:paraId="11FB106A" w14:textId="77777777" w:rsidR="003B783C" w:rsidRDefault="003B783C" w:rsidP="003B783C">
      <w:pPr>
        <w:rPr>
          <w:rFonts w:ascii="Times New Roman" w:hAnsi="Times New Roman" w:cs="Times New Roman"/>
          <w:sz w:val="40"/>
          <w:szCs w:val="40"/>
          <w:lang w:val="kk-KZ"/>
        </w:rPr>
      </w:pPr>
    </w:p>
    <w:p w14:paraId="643539E6" w14:textId="230BAD10" w:rsidR="003B783C" w:rsidRPr="003B783C" w:rsidRDefault="003B783C" w:rsidP="003B783C">
      <w:pPr>
        <w:rPr>
          <w:rFonts w:ascii="Times New Roman" w:hAnsi="Times New Roman" w:cs="Times New Roman"/>
          <w:sz w:val="40"/>
          <w:szCs w:val="40"/>
          <w:lang w:val="kk-KZ"/>
        </w:rPr>
      </w:pPr>
      <w:r>
        <w:rPr>
          <w:rFonts w:ascii="Times New Roman" w:hAnsi="Times New Roman" w:cs="Times New Roman"/>
          <w:sz w:val="40"/>
          <w:szCs w:val="40"/>
          <w:lang w:val="kk-KZ"/>
        </w:rPr>
        <w:t>Д</w:t>
      </w:r>
      <w:r w:rsidRPr="003B783C">
        <w:rPr>
          <w:rFonts w:ascii="Times New Roman" w:hAnsi="Times New Roman" w:cs="Times New Roman"/>
          <w:sz w:val="40"/>
          <w:szCs w:val="40"/>
          <w:lang w:val="kk-KZ"/>
        </w:rPr>
        <w:t>ағдарысты мемлекеттік реттеу-нормативті құбылыс. Ол қызметті талдаудан және нақты, ашық мақсаттарды қоюдан, мүмкіндігінше дағдарыстық жағдайларды оң түрде өзгертетін құралдардан тұрады.</w:t>
      </w:r>
    </w:p>
    <w:p w14:paraId="68FB1A2C"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Дағдарысты мемлекеттік реттеу тәжірибесін нарықтық экономикалы елдердің бірі — Германия мысалынан бастайық. Ел экономикасының маңызды ерекшеліктерінің бірі болып, өнеркәсіп шоғырлануының жоғары деңгейі табылады. Басқа көптеген Еуропалық елдермен қатар, Германияны жеткілікті деңгейде дамыған экономикалық инфрақұрылым және оның элементтерінің-жылжымайтын мүлік, ақпараттар, технологиялар, қаржылар және бағалы қағаздар нарықтарының бүтіндігі сипаттайды. Бұл бизнестің</w:t>
      </w:r>
    </w:p>
    <w:p w14:paraId="0428003A"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 xml:space="preserve">жоғары деңгейін, және оның салдары ретінде жоғарғы ұйымдастыру шығындарын анықтайды.Осындай макроэкономикалық тенденциялар төлем қабілетсіз </w:t>
      </w:r>
      <w:r w:rsidRPr="003B783C">
        <w:rPr>
          <w:rFonts w:ascii="Times New Roman" w:hAnsi="Times New Roman" w:cs="Times New Roman"/>
          <w:sz w:val="40"/>
          <w:szCs w:val="40"/>
          <w:lang w:val="kk-KZ"/>
        </w:rPr>
        <w:lastRenderedPageBreak/>
        <w:t>кәсіпорындарды басқару механизмдерінің типологиясын қалыптастырады. Кәсіпорындар санациясын тікелей мемлекеттік қаржыландыру, әдетте, аймақтық маңызы бар өте ірі зауыттарға ғана қолданылады.</w:t>
      </w:r>
    </w:p>
    <w:p w14:paraId="0D9D5650"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Экономиканы мемлекеттік реттеудің құралы ретінде банктік несиелер бойынша кепілдік беру қолданылады. Кәсіпорындар санациясы, кредиторлар өз капиталдарын қайтарып алатынына анық сенімді болған жағдайда жүргізіледі. Санацияның міндетті шарттары болып кредиторлық борышты жартылай (кем дегенде 35 % — ке) жабу және басқарудың ұйымдастырушылық құрылымын оңтайландыру үшін менеджерлік құрамды ауыстыру саналады.</w:t>
      </w:r>
    </w:p>
    <w:p w14:paraId="6804F91A"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Кәсіпорынның нақты қаржылық жағдайын анықтау бірнеше бағыттарды қамтитын оның дағдарысының себептерін талдау жолымен жүргізіледі:</w:t>
      </w:r>
    </w:p>
    <w:p w14:paraId="21D54392"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 кәсіпорынның қызмет етуінің құқықтық жағдайларын талдау оның ұйымдық — құқықтық нысанын, фирма қызметінің заңды кеңістігін қалыптастыратын құрылтай құжаттарын қарастыруды ескереді;</w:t>
      </w:r>
    </w:p>
    <w:p w14:paraId="0D8E0BD0"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 кәсіпорын филиалдарының орналасуын, өндірістік бағдарламасын талдау өндіріс жағдайларының және өткізу оңтайлылығын бағалауға бағытталған;</w:t>
      </w:r>
    </w:p>
    <w:p w14:paraId="1D67E0E3"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 кәсіпорынды өндіріс ресурстарымен жабдықтау жүйесін талдау</w:t>
      </w:r>
    </w:p>
    <w:p w14:paraId="352B3264"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lastRenderedPageBreak/>
        <w:t>барысында шикізат пен өнім қорының бар-жоғы, тауар айналым қарқыны, щикізат жеткізудің келісім-шарттарының орындалуы, шикізат сапасы мен құны анықталады;</w:t>
      </w:r>
    </w:p>
    <w:p w14:paraId="5538FC92"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 кәсіпорынға қаржы ресурстарының қажеттілігін талдау және қаржылық жоспарлау кәсіпорын активтерін бағалауға, олардың өтімділігін, нарықтық құнын, меншікті және қарыз капиталының үлесін, қаржылык саясаттың стратегиясын бағалауға және бизнес — бағдарламаны қаржыландырудың ең тиімді көздерін анықтауға бағыттылған;</w:t>
      </w:r>
    </w:p>
    <w:p w14:paraId="063E4981"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 ұйымдастырушылық жағдайларды талдау кәсіпорынды басқару тиімділігін, менеджмент құрылымының ұтымдылығын, басқарушы құрамның біліктілік деңгейін, акпараттық тасқындардың оңтайлығын бағалауды ескереді;</w:t>
      </w:r>
    </w:p>
    <w:p w14:paraId="1E9692E3"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 кәсіпорынның қызмет етуінің сыртқы жағдайларын бағалаудың да маңызы зор — салалық қимадағы жағдай, өндірілетін тауарлар тобы бойынша бәсеке деңгейі, бәсекелестердің стратегиясы мен қуаты, аймақтағы саяси және әлеуметтік тұрақтылық, тұрғын халықтың төлем қабілеттілігі, экологиялық шектеулердің әсері.</w:t>
      </w:r>
    </w:p>
    <w:p w14:paraId="118DCAB6"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Осы аталған факторлардың және заңдылықтың ресми мөлшерлерінің жиынтығы кәсіпорынның төлем қабілеттілігін анықтайды және оның құрылымын кайта құру нысандары жайлы шешімдерді қабылдауға негіз болады.</w:t>
      </w:r>
    </w:p>
    <w:p w14:paraId="07A65D18"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lastRenderedPageBreak/>
        <w:t>Италияның банкроттылық туралы заңдылығы бірнеше құқықтық нормаларды бөліп көрсетеді: банкроттық; банкроттық қаупі жағдайында кредиторлармен келісу; банкроттық қаупі төнген жағдайдағы бақыланатын басқару; басқару органдарын күштеп жою.</w:t>
      </w:r>
    </w:p>
    <w:p w14:paraId="144E254F"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Басқару органдарын күштеп тарату ерекшелігі — стратегиялық маңызы бар бірқатар кәсіпорындар мемлекеттік басқару органдардың бақылауында болғанымен анықталады. Осындай кәсіпорындардың каржылық дағдарысы жағдайында олардың мүлкін тарату жүргізіледі. Бұл әкімшілік тәртіппен мемлекеттік басқарудың тоқтатылғанын көрсетеді.</w:t>
      </w:r>
    </w:p>
    <w:p w14:paraId="14F9F509"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 xml:space="preserve">Банкроттық туралы Италияның заңдылығы үнемі жетілдіріліп отырғанын айта кету керек және осы үрдіс мақсаттарының бірі болып, кәсіпорын банкроттықка ұшыраған жағдайда азаматтарды әлеуметтік қорғау шараларының кешенін енгізу табылады. Егер Германияда мемлекет банкрот болған кәсіпорынның жұмысшыларына қарыздарын тікелей өтеуге қатысса, Италияда экономикалық-әлеуметтік реттеудің басқа, икемді нысандары карастырылған. Ол мемлекеттің қаржылық қиыншылықтары бар жеке компаниялардың жарғылық. капиталына мемлекеттік басқаруды енгізу мақсатында үлеспен кіру және осы шеңберде мемлекеттік үлесті қайтып берумен байланысты санациялық іс-шараларды қаржыландыру. Осы шараны нақты қаржылық дағдарысты басынан кешіріп отырған кәсіпорындарға ғана қатысты қолдануға болады. Сол себепті олардың </w:t>
      </w:r>
      <w:r w:rsidRPr="003B783C">
        <w:rPr>
          <w:rFonts w:ascii="Times New Roman" w:hAnsi="Times New Roman" w:cs="Times New Roman"/>
          <w:sz w:val="40"/>
          <w:szCs w:val="40"/>
          <w:lang w:val="kk-KZ"/>
        </w:rPr>
        <w:lastRenderedPageBreak/>
        <w:t>дағдарыс алдындағы диагностикасы мақсатында және оларды қайта құру жайлы басқару шешімдерін қабылдау үшін кәсіпорынның төлемқабілеттілігін анықтаудың негізделген көрсеткіштері қажет.</w:t>
      </w:r>
    </w:p>
    <w:p w14:paraId="543A09A0"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Чехия Республикасында өтпелі кезең экономикасының күрделігіне қарамастан, кәсіпорындар қызметін дағдарыс кезінде реттеу-өркениетті бәсеке және экономиканы мемлекеттік реттеудің айрылмас элементі болып табылды. Банкроттық жағдайында конкурстық өндірістің басталғаны жайлы шешімді конкурс соты қабылдайды. Конкурстық өндіріс үрдісі оңалту мерзімін (әдетте 3 ай) қамтиды, ол мерзім ішінде несиегерлер талаптары уақытша тоқтайды және кәсіпорын өз қаржылық жағдайын жақсартуға мүмкіндік алады. Кредиторлар комитеті осы мерзім ішінде кәсіпорын жұмысын бақылаудың бір нысаны жайлы шешім қабылдауы мүмкін. Егер кәсіпорын төлем қабілеттілігін қалпына келтірмесе, төлемдер конкурс массасына енгізілген борышкер мүлкін сатудан түскен қаражаттар есебінен өтеледі. Бұл жерде талаптарды қанағаттандыру тәртібі, ең алдымен еңбек талаптарымен қатар конкурстық басқарушының еңбек ақысы қосылғандығымен ерекшеленеді. Банкроттылық туралы Чехия заңдылығының тағы бірқатар ерекшеліктері бар:</w:t>
      </w:r>
    </w:p>
    <w:p w14:paraId="5190112C"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 xml:space="preserve">— егер конкурстық өндіріс барысында қарыздарды бөліп өтеу туралы шешім қабылданбаған болса, онда банкроттың өзі сотқа күштеп өтеу жүргізуді ұсынуға </w:t>
      </w:r>
      <w:r w:rsidRPr="003B783C">
        <w:rPr>
          <w:rFonts w:ascii="Times New Roman" w:hAnsi="Times New Roman" w:cs="Times New Roman"/>
          <w:sz w:val="40"/>
          <w:szCs w:val="40"/>
          <w:lang w:val="kk-KZ"/>
        </w:rPr>
        <w:lastRenderedPageBreak/>
        <w:t>құқылы, бұл кредиторлардың ¾ бөлігі келіскен жағдайда мүмкін болады;</w:t>
      </w:r>
    </w:p>
    <w:p w14:paraId="1EEF9ADB"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 мемлекеттік кәсіпорындарды банкрот деп танудың ерекше тәртібі белгіленген: банкроттық туралы шешім қабылдау үшін халықтық мүлік және жекешелендіру істері жөнінде Министрліктің шешімі қажет, қорғау мерзімі борышкер кәсіпорындарды жекешелендіру жағдайында және оны жекешелендіру мерзімі шеңберінде беріледі;</w:t>
      </w:r>
    </w:p>
    <w:p w14:paraId="69147D2D"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 банкроттылық туралы зандылық мемлекет қарыздары бойынша субсидиарлық жауаптылықты өз мойнына алатын кәсіпорындарға қолданылмайды.</w:t>
      </w:r>
    </w:p>
    <w:p w14:paraId="52131B56"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Чехия заңдылығында банкротты ажыратудың басқа елдерден ерекшелігі жоқтың қасы-дәрменсіздік белгісі болып, кредиторлық қарыздардың кәсіпорынның таза активтерінен жоғары болуы табылады.</w:t>
      </w:r>
    </w:p>
    <w:p w14:paraId="420C92FA"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АҚШ Конгрессінің мәліметтері бойынша, елдегі жұмыссыздардың көп бөлігі жастардың үлесіне тиеді және бұл қылмыстың, нашақорлықтың, маскүнемдіктің және т.б. жоғары деңгейде өсуіне жағдай жасайды. Жастарды жұмыспен қамтамасыз ету жөніндегі іс-шаралармен бағдарламаларды әзірлеуде американдық заңгерлер үкіметке жұмысты кәсіптік оқумен үйлестірудің тәжірибелік әдістерін әзірлеу, жеке кәсіпкерлікті ынталандыру, өндірістен қол үзбей кәсіптік білім алу тәжірибесі сияқты міндеттерді шешуді қарастыруды ұсынады.</w:t>
      </w:r>
    </w:p>
    <w:p w14:paraId="776F4766"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lastRenderedPageBreak/>
        <w:t>АҚШ-та дағдарысты мемлекеттік реттеуді жетілдірудің екінші маңызды бағыты болып, экономикалық саясатты әзірлеу мен жүргізу жөніндегі әртүрлі мемлекеттік ұйымдардың қызметтерін ғылыми жан-жақты негізделген үйлестіру табылады. Осы мақсатта реттеуді жетілдіру жөніндегі Президенттік кеңес құрылған. Оның басты міндеті болып, мемлекеттік аппарат алдында туындайтын мәселелерді шешуді әзірлеу табылады. Оның қызметінде келесі басым бағыттар бөліп көрсетіледі:</w:t>
      </w:r>
    </w:p>
    <w:p w14:paraId="0313184F"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 қаржы ресурстарын басқаруды жетілдіру;</w:t>
      </w:r>
    </w:p>
    <w:p w14:paraId="0E9832BE"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 басқару құралдары мен үрдістерін ұтымдау;</w:t>
      </w:r>
    </w:p>
    <w:p w14:paraId="7FDF64A9"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 бас инспектор қызметін үйлестіру;</w:t>
      </w:r>
    </w:p>
    <w:p w14:paraId="38259CBC"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 қылмыстар санын қысқарту жөніндегі әртүрлі ұйымдардың күшеюі, т.б.</w:t>
      </w:r>
    </w:p>
    <w:p w14:paraId="15FA9D29"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Дағдарысқа қарсы мемлекеттік басқару экстремальді даму кезеңдерінде күшейеді-дағдарыс кезінде кәсіпорындар мен салаларды мемлекеттік бақылаудан бастап, өндіріс және өнімді бөлу сфераларында орталықтандырылған әкімшіліктің болуына дейін күшейеді. Мысалы, соғыстан кейінгі жылдардағы Жапониядағы экономикалық механизм қорларды бөлу, айналыс үрдісін қатаң реттеу, баға белгілеу, табыстар саясаты жүйесін реттеу, көптеген салалар мен кәсіпорындарды тікелей мемлекеттік басқарумен сипатталады.</w:t>
      </w:r>
    </w:p>
    <w:p w14:paraId="4A6BDE99" w14:textId="77777777" w:rsidR="003B783C" w:rsidRPr="003B783C" w:rsidRDefault="003B783C" w:rsidP="003B783C">
      <w:pPr>
        <w:rPr>
          <w:rFonts w:ascii="Times New Roman" w:hAnsi="Times New Roman" w:cs="Times New Roman"/>
          <w:sz w:val="40"/>
          <w:szCs w:val="40"/>
          <w:lang w:val="kk-KZ"/>
        </w:rPr>
      </w:pPr>
      <w:r w:rsidRPr="003B783C">
        <w:rPr>
          <w:rFonts w:ascii="Times New Roman" w:hAnsi="Times New Roman" w:cs="Times New Roman"/>
          <w:sz w:val="40"/>
          <w:szCs w:val="40"/>
          <w:lang w:val="kk-KZ"/>
        </w:rPr>
        <w:t xml:space="preserve">Ол кезеңдегі жапон бизнесі үшін күрделі мәселе — отандық тауарларының қанағаттанарлықсыз сапасы </w:t>
      </w:r>
      <w:r w:rsidRPr="003B783C">
        <w:rPr>
          <w:rFonts w:ascii="Times New Roman" w:hAnsi="Times New Roman" w:cs="Times New Roman"/>
          <w:sz w:val="40"/>
          <w:szCs w:val="40"/>
          <w:lang w:val="kk-KZ"/>
        </w:rPr>
        <w:lastRenderedPageBreak/>
        <w:t>болды. Сыртқы сауда және өнеркәсіп министрлігінің үсынуымен 1950 жылы Жапонияға осы салада белгілі маман профессор Э.Деминг шақырылған, ол Жапон кәсіпкерлеріне «Жапон сапасы әлемде ең алдыңғы бола алады» деп жариялаған. Демингтің бұл сөздері, болашақты болжағанын өмір көрсетті.</w:t>
      </w:r>
    </w:p>
    <w:p w14:paraId="04DF4354" w14:textId="27476FF8" w:rsidR="00A77140" w:rsidRPr="003B783C" w:rsidRDefault="003B783C" w:rsidP="003B783C">
      <w:pPr>
        <w:rPr>
          <w:lang w:val="kk-KZ"/>
        </w:rPr>
      </w:pPr>
      <w:r w:rsidRPr="003B783C">
        <w:rPr>
          <w:rFonts w:ascii="Times New Roman" w:hAnsi="Times New Roman" w:cs="Times New Roman"/>
          <w:sz w:val="40"/>
          <w:szCs w:val="40"/>
          <w:lang w:val="kk-KZ"/>
        </w:rPr>
        <w:t>Француз заңы бойынша «дәрменсіздік» ұғымы тек алыпсатарларға қолданылады, сондықтан саудаға жатпайтын маман тұлғаларға банкроттық жайлы ережелер колданылмайды. Англо-американдық құкық, сондай-ақ Германия заңы бойынша «дәрменсіздік» ұғымы сауда жұмыстарының тұлғаларымен шектелмейді, сондықтан банкроттық субъектісі болып</w:t>
      </w:r>
      <w:r w:rsidRPr="003B783C">
        <w:rPr>
          <w:lang w:val="kk-KZ"/>
        </w:rPr>
        <w:t xml:space="preserve"> …</w:t>
      </w:r>
    </w:p>
    <w:p w14:paraId="5734D661" w14:textId="77777777" w:rsidR="00A77140" w:rsidRPr="003B783C" w:rsidRDefault="00A77140">
      <w:pPr>
        <w:rPr>
          <w:lang w:val="kk-KZ"/>
        </w:rPr>
      </w:pPr>
    </w:p>
    <w:p w14:paraId="28F55087" w14:textId="77777777" w:rsidR="00A77140" w:rsidRPr="003B783C" w:rsidRDefault="00A77140">
      <w:pPr>
        <w:rPr>
          <w:lang w:val="kk-KZ"/>
        </w:rPr>
      </w:pPr>
    </w:p>
    <w:p w14:paraId="5BCE0A28" w14:textId="77777777" w:rsidR="00A77140" w:rsidRDefault="00A77140" w:rsidP="00A77140">
      <w:pPr>
        <w:rPr>
          <w:rFonts w:ascii="Times New Roman" w:hAnsi="Times New Roman" w:cs="Times New Roman"/>
          <w:sz w:val="20"/>
          <w:szCs w:val="20"/>
          <w:lang w:val="kk-KZ"/>
        </w:rPr>
      </w:pPr>
      <w:r>
        <w:rPr>
          <w:rFonts w:ascii="Times New Roman" w:hAnsi="Times New Roman" w:cs="Times New Roman"/>
          <w:sz w:val="20"/>
          <w:szCs w:val="20"/>
          <w:lang w:val="kk-KZ"/>
        </w:rPr>
        <w:t>Негізгі әдебиеттер:</w:t>
      </w:r>
    </w:p>
    <w:p w14:paraId="0A6891E7" w14:textId="77777777" w:rsidR="00A77140" w:rsidRDefault="00A77140" w:rsidP="00A77140">
      <w:pPr>
        <w:pStyle w:val="a4"/>
        <w:tabs>
          <w:tab w:val="left" w:pos="0"/>
        </w:tabs>
        <w:autoSpaceDE w:val="0"/>
        <w:autoSpaceDN w:val="0"/>
        <w:adjustRightInd w:val="0"/>
        <w:spacing w:after="0"/>
        <w:ind w:left="0"/>
        <w:rPr>
          <w:rFonts w:ascii="Times New Roman" w:hAnsi="Times New Roman" w:cs="Times New Roman"/>
          <w:bCs/>
          <w:color w:val="000000" w:themeColor="text1"/>
          <w:sz w:val="20"/>
          <w:szCs w:val="20"/>
          <w:lang w:val="kk-KZ"/>
        </w:rPr>
      </w:pPr>
      <w:r>
        <w:rPr>
          <w:rFonts w:ascii="Times New Roman" w:hAnsi="Times New Roman" w:cs="Times New Roman"/>
          <w:color w:val="000000" w:themeColor="text1"/>
          <w:sz w:val="20"/>
          <w:szCs w:val="20"/>
          <w:lang w:val="kk-KZ"/>
        </w:rPr>
        <w:t>1.Қасым-Жомарт Тоқаев "Әділетті Қазақстанның экономикалық бағдары". - Астана,   1 қыркүйек 2023 ж.</w:t>
      </w:r>
    </w:p>
    <w:p w14:paraId="68B1F793" w14:textId="77777777" w:rsidR="00A77140" w:rsidRDefault="00A77140" w:rsidP="00A77140">
      <w:pPr>
        <w:pStyle w:val="a4"/>
        <w:numPr>
          <w:ilvl w:val="0"/>
          <w:numId w:val="1"/>
        </w:numPr>
        <w:tabs>
          <w:tab w:val="left" w:pos="39"/>
        </w:tabs>
        <w:autoSpaceDE w:val="0"/>
        <w:autoSpaceDN w:val="0"/>
        <w:adjustRightInd w:val="0"/>
        <w:spacing w:after="0" w:line="240" w:lineRule="auto"/>
        <w:ind w:left="0" w:firstLine="0"/>
        <w:jc w:val="both"/>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0E73A623" w14:textId="77777777" w:rsidR="00A77140" w:rsidRDefault="00A77140" w:rsidP="00A77140">
      <w:pPr>
        <w:pStyle w:val="a4"/>
        <w:numPr>
          <w:ilvl w:val="0"/>
          <w:numId w:val="1"/>
        </w:numPr>
        <w:tabs>
          <w:tab w:val="left" w:pos="39"/>
        </w:tabs>
        <w:spacing w:after="0" w:line="240" w:lineRule="auto"/>
        <w:ind w:left="0" w:firstLine="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Қазақстан Республикасында мемлекеттік басқаруды дамытудың 2030 жылға дейінгі  тұжырымдамасы//ҚР Президентінің 2021 жылғы 26 ақпандағы №522 Жарлығы </w:t>
      </w:r>
    </w:p>
    <w:p w14:paraId="05B93721" w14:textId="77777777" w:rsidR="00A77140" w:rsidRDefault="00A77140" w:rsidP="00A77140">
      <w:pPr>
        <w:pStyle w:val="a4"/>
        <w:numPr>
          <w:ilvl w:val="0"/>
          <w:numId w:val="1"/>
        </w:numPr>
        <w:tabs>
          <w:tab w:val="left" w:pos="3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Антонов</w:t>
      </w:r>
      <w:r>
        <w:rPr>
          <w:rFonts w:ascii="Times New Roman" w:hAnsi="Times New Roman" w:cs="Times New Roman"/>
          <w:sz w:val="20"/>
          <w:szCs w:val="20"/>
          <w:lang w:val="kk-KZ"/>
        </w:rPr>
        <w:t xml:space="preserve"> Г.Д.</w:t>
      </w:r>
      <w:r>
        <w:rPr>
          <w:rFonts w:ascii="Times New Roman" w:hAnsi="Times New Roman" w:cs="Times New Roman"/>
          <w:sz w:val="20"/>
          <w:szCs w:val="20"/>
        </w:rPr>
        <w:t>, Иванова</w:t>
      </w:r>
      <w:r>
        <w:rPr>
          <w:rFonts w:ascii="Times New Roman" w:hAnsi="Times New Roman" w:cs="Times New Roman"/>
          <w:sz w:val="20"/>
          <w:szCs w:val="20"/>
          <w:lang w:val="kk-KZ"/>
        </w:rPr>
        <w:t xml:space="preserve"> </w:t>
      </w:r>
      <w:proofErr w:type="gramStart"/>
      <w:r>
        <w:rPr>
          <w:rFonts w:ascii="Times New Roman" w:hAnsi="Times New Roman" w:cs="Times New Roman"/>
          <w:sz w:val="20"/>
          <w:szCs w:val="20"/>
          <w:lang w:val="kk-KZ"/>
        </w:rPr>
        <w:t xml:space="preserve">О.П.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Тумин</w:t>
      </w:r>
      <w:proofErr w:type="spellEnd"/>
      <w:r>
        <w:rPr>
          <w:rFonts w:ascii="Times New Roman" w:hAnsi="Times New Roman" w:cs="Times New Roman"/>
          <w:sz w:val="20"/>
          <w:szCs w:val="20"/>
          <w:lang w:val="kk-KZ"/>
        </w:rPr>
        <w:t xml:space="preserve"> В.М. Антикризисное управление организацией-М.: ИНФРА-М, 2020-143 с.</w:t>
      </w:r>
    </w:p>
    <w:p w14:paraId="2D84991F" w14:textId="77777777" w:rsidR="00A77140" w:rsidRDefault="00A77140" w:rsidP="00A77140">
      <w:pPr>
        <w:pStyle w:val="a4"/>
        <w:numPr>
          <w:ilvl w:val="0"/>
          <w:numId w:val="1"/>
        </w:numPr>
        <w:tabs>
          <w:tab w:val="left" w:pos="39"/>
        </w:tabs>
        <w:spacing w:after="0" w:line="240" w:lineRule="auto"/>
        <w:ind w:left="0" w:firstLine="0"/>
        <w:jc w:val="both"/>
        <w:rPr>
          <w:rFonts w:ascii="Times New Roman" w:hAnsi="Times New Roman" w:cs="Times New Roman"/>
          <w:sz w:val="20"/>
          <w:szCs w:val="20"/>
          <w:lang w:val="kk-KZ"/>
        </w:rPr>
      </w:pPr>
      <w:r>
        <w:rPr>
          <w:rFonts w:ascii="Times New Roman" w:hAnsi="Times New Roman" w:cs="Times New Roman"/>
          <w:sz w:val="20"/>
          <w:szCs w:val="20"/>
          <w:lang w:val="kk-KZ"/>
        </w:rPr>
        <w:t>Аунапу Э.Ф. Антикризисное управление - Саратов : Ай Пи Эр Медиа, 2019 - 313 c.</w:t>
      </w:r>
    </w:p>
    <w:p w14:paraId="52F31393" w14:textId="77777777" w:rsidR="00A77140" w:rsidRDefault="00A77140" w:rsidP="00A77140">
      <w:pPr>
        <w:pStyle w:val="a4"/>
        <w:numPr>
          <w:ilvl w:val="0"/>
          <w:numId w:val="1"/>
        </w:numPr>
        <w:tabs>
          <w:tab w:val="left" w:pos="39"/>
        </w:tabs>
        <w:spacing w:after="0" w:line="240" w:lineRule="auto"/>
        <w:ind w:left="0" w:firstLine="0"/>
        <w:jc w:val="both"/>
        <w:rPr>
          <w:rFonts w:ascii="Times New Roman" w:hAnsi="Times New Roman" w:cs="Times New Roman"/>
          <w:sz w:val="20"/>
          <w:szCs w:val="20"/>
          <w:lang w:val="kk-KZ"/>
        </w:rPr>
      </w:pPr>
      <w:r>
        <w:rPr>
          <w:rFonts w:ascii="Times New Roman" w:hAnsi="Times New Roman" w:cs="Times New Roman"/>
          <w:sz w:val="20"/>
          <w:szCs w:val="20"/>
          <w:lang w:val="kk-KZ"/>
        </w:rPr>
        <w:t>Домалатов Е.Б. Дағдарысқа қарсы басқару -Өскемен, 2020-115 б.</w:t>
      </w:r>
    </w:p>
    <w:p w14:paraId="5242DC06" w14:textId="77777777" w:rsidR="00A77140" w:rsidRDefault="00A77140" w:rsidP="00A77140">
      <w:pPr>
        <w:pStyle w:val="a4"/>
        <w:numPr>
          <w:ilvl w:val="0"/>
          <w:numId w:val="1"/>
        </w:numPr>
        <w:tabs>
          <w:tab w:val="left" w:pos="0"/>
          <w:tab w:val="left" w:pos="39"/>
          <w:tab w:val="left" w:pos="317"/>
        </w:tabs>
        <w:autoSpaceDE w:val="0"/>
        <w:autoSpaceDN w:val="0"/>
        <w:adjustRightInd w:val="0"/>
        <w:spacing w:after="0" w:line="240" w:lineRule="auto"/>
        <w:ind w:left="0" w:firstLine="0"/>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Жатқанбаев Е.Б., Смағулова Г.С. Экономиканы мемлекеттік реттеу- Алматы: Қазақ университеті, 2023 – 200 б.</w:t>
      </w:r>
    </w:p>
    <w:p w14:paraId="69FFA20D" w14:textId="77777777" w:rsidR="00A77140" w:rsidRDefault="00A77140" w:rsidP="00A77140">
      <w:pPr>
        <w:pStyle w:val="a4"/>
        <w:numPr>
          <w:ilvl w:val="0"/>
          <w:numId w:val="1"/>
        </w:numPr>
        <w:tabs>
          <w:tab w:val="left" w:pos="39"/>
        </w:tabs>
        <w:spacing w:after="0" w:line="240" w:lineRule="auto"/>
        <w:ind w:left="0" w:firstLine="0"/>
        <w:jc w:val="both"/>
        <w:rPr>
          <w:rFonts w:ascii="Times New Roman" w:hAnsi="Times New Roman" w:cs="Times New Roman"/>
          <w:sz w:val="20"/>
          <w:szCs w:val="20"/>
          <w:lang w:val="kk-KZ"/>
        </w:rPr>
      </w:pPr>
      <w:r>
        <w:rPr>
          <w:rFonts w:ascii="Times New Roman" w:hAnsi="Times New Roman" w:cs="Times New Roman"/>
          <w:sz w:val="20"/>
          <w:szCs w:val="20"/>
          <w:lang w:val="kk-KZ"/>
        </w:rPr>
        <w:t>Кован С.Е. Антикризисное управление: теория и практика-М.: КноРус, 2022-378 с.</w:t>
      </w:r>
    </w:p>
    <w:p w14:paraId="0EF8BEB1" w14:textId="77777777" w:rsidR="00A77140" w:rsidRDefault="00A77140" w:rsidP="00A77140">
      <w:pPr>
        <w:pStyle w:val="a4"/>
        <w:numPr>
          <w:ilvl w:val="0"/>
          <w:numId w:val="1"/>
        </w:numPr>
        <w:tabs>
          <w:tab w:val="left" w:pos="39"/>
        </w:tabs>
        <w:spacing w:after="0" w:line="240" w:lineRule="auto"/>
        <w:ind w:left="0" w:firstLine="0"/>
        <w:jc w:val="both"/>
        <w:rPr>
          <w:rFonts w:ascii="Times New Roman" w:hAnsi="Times New Roman" w:cs="Times New Roman"/>
          <w:sz w:val="20"/>
          <w:szCs w:val="20"/>
          <w:lang w:val="kk-KZ"/>
        </w:rPr>
      </w:pP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2021</w:t>
      </w:r>
      <w:r>
        <w:rPr>
          <w:rFonts w:ascii="Times New Roman" w:hAnsi="Times New Roman" w:cs="Times New Roman"/>
          <w:sz w:val="20"/>
          <w:szCs w:val="20"/>
          <w:lang w:val="kk-KZ"/>
        </w:rPr>
        <w:t>-</w:t>
      </w:r>
      <w:r>
        <w:rPr>
          <w:rFonts w:ascii="Times New Roman" w:hAnsi="Times New Roman" w:cs="Times New Roman"/>
          <w:sz w:val="20"/>
          <w:szCs w:val="20"/>
        </w:rPr>
        <w:t xml:space="preserve"> 336</w:t>
      </w:r>
      <w:proofErr w:type="gramEnd"/>
      <w:r>
        <w:rPr>
          <w:rFonts w:ascii="Times New Roman" w:hAnsi="Times New Roman" w:cs="Times New Roman"/>
          <w:sz w:val="20"/>
          <w:szCs w:val="20"/>
        </w:rPr>
        <w:t xml:space="preserve"> с.</w:t>
      </w:r>
    </w:p>
    <w:p w14:paraId="77B84A57" w14:textId="77777777" w:rsidR="00A77140" w:rsidRDefault="00A77140" w:rsidP="00A77140">
      <w:pPr>
        <w:pStyle w:val="a4"/>
        <w:numPr>
          <w:ilvl w:val="0"/>
          <w:numId w:val="1"/>
        </w:numPr>
        <w:tabs>
          <w:tab w:val="left" w:pos="39"/>
        </w:tabs>
        <w:spacing w:after="0" w:line="240" w:lineRule="auto"/>
        <w:ind w:left="0" w:firstLine="0"/>
        <w:jc w:val="both"/>
        <w:rPr>
          <w:rFonts w:ascii="Times New Roman" w:hAnsi="Times New Roman" w:cs="Times New Roman"/>
          <w:sz w:val="20"/>
          <w:szCs w:val="20"/>
          <w:lang w:val="kk-KZ"/>
        </w:rPr>
      </w:pPr>
      <w:r>
        <w:rPr>
          <w:rFonts w:ascii="Times New Roman" w:hAnsi="Times New Roman" w:cs="Times New Roman"/>
          <w:sz w:val="20"/>
          <w:szCs w:val="20"/>
          <w:lang w:val="kk-KZ"/>
        </w:rPr>
        <w:t>Коротков, Э.М. Антикризисное управление - М.: Юрайт, 2023-406 с.</w:t>
      </w:r>
    </w:p>
    <w:p w14:paraId="7408D4BA" w14:textId="77777777" w:rsidR="00A77140" w:rsidRDefault="00A77140" w:rsidP="00A77140">
      <w:pPr>
        <w:pStyle w:val="a4"/>
        <w:numPr>
          <w:ilvl w:val="0"/>
          <w:numId w:val="1"/>
        </w:numPr>
        <w:tabs>
          <w:tab w:val="left" w:pos="39"/>
        </w:tabs>
        <w:spacing w:after="0" w:line="240" w:lineRule="auto"/>
        <w:ind w:left="0" w:firstLine="0"/>
        <w:jc w:val="both"/>
        <w:rPr>
          <w:rFonts w:ascii="Times New Roman" w:hAnsi="Times New Roman" w:cs="Times New Roman"/>
          <w:sz w:val="20"/>
          <w:szCs w:val="20"/>
          <w:lang w:val="kk-KZ"/>
        </w:rPr>
      </w:pPr>
      <w:r>
        <w:rPr>
          <w:rFonts w:ascii="Times New Roman" w:hAnsi="Times New Roman" w:cs="Times New Roman"/>
          <w:sz w:val="20"/>
          <w:szCs w:val="20"/>
          <w:lang w:val="kk-KZ"/>
        </w:rPr>
        <w:t>Корягин Н.Д. Антикризисное управление.-М.: Юрайт, 2023-367 с.</w:t>
      </w:r>
    </w:p>
    <w:p w14:paraId="11D5DDC8" w14:textId="77777777" w:rsidR="00A77140" w:rsidRDefault="00A77140" w:rsidP="00A77140">
      <w:pPr>
        <w:pStyle w:val="a4"/>
        <w:numPr>
          <w:ilvl w:val="0"/>
          <w:numId w:val="1"/>
        </w:numPr>
        <w:tabs>
          <w:tab w:val="left" w:pos="39"/>
        </w:tabs>
        <w:spacing w:after="0" w:line="240" w:lineRule="auto"/>
        <w:ind w:left="0" w:firstLine="0"/>
        <w:jc w:val="both"/>
        <w:rPr>
          <w:rFonts w:ascii="Times New Roman" w:hAnsi="Times New Roman" w:cs="Times New Roman"/>
          <w:sz w:val="20"/>
          <w:szCs w:val="20"/>
          <w:lang w:val="kk-KZ"/>
        </w:rPr>
      </w:pPr>
      <w:r>
        <w:rPr>
          <w:rFonts w:ascii="Times New Roman" w:hAnsi="Times New Roman" w:cs="Times New Roman"/>
          <w:sz w:val="20"/>
          <w:szCs w:val="20"/>
          <w:lang w:val="kk-KZ"/>
        </w:rPr>
        <w:t>Кочеткова А.И. Антикризисное управление.-М.: Юрайт, 2023-440 с.</w:t>
      </w:r>
    </w:p>
    <w:p w14:paraId="54A9FF06" w14:textId="77777777" w:rsidR="00A77140" w:rsidRDefault="00A77140" w:rsidP="00A77140">
      <w:pPr>
        <w:pStyle w:val="a4"/>
        <w:numPr>
          <w:ilvl w:val="0"/>
          <w:numId w:val="1"/>
        </w:numPr>
        <w:tabs>
          <w:tab w:val="left" w:pos="39"/>
        </w:tabs>
        <w:spacing w:after="0" w:line="240" w:lineRule="auto"/>
        <w:ind w:left="0" w:firstLine="0"/>
        <w:jc w:val="both"/>
        <w:rPr>
          <w:rFonts w:ascii="Times New Roman" w:hAnsi="Times New Roman" w:cs="Times New Roman"/>
          <w:sz w:val="20"/>
          <w:szCs w:val="20"/>
          <w:lang w:val="kk-KZ"/>
        </w:rPr>
      </w:pPr>
      <w:r>
        <w:rPr>
          <w:rFonts w:ascii="Times New Roman" w:hAnsi="Times New Roman" w:cs="Times New Roman"/>
          <w:sz w:val="20"/>
          <w:szCs w:val="20"/>
          <w:lang w:val="kk-KZ"/>
        </w:rPr>
        <w:t>Ларионов И.К. Антикризисное управление-М.: Дашков и К, 2019 - 380 c</w:t>
      </w:r>
    </w:p>
    <w:p w14:paraId="18A959F5" w14:textId="77777777" w:rsidR="00A77140" w:rsidRDefault="00A77140" w:rsidP="00A77140">
      <w:pPr>
        <w:pStyle w:val="a4"/>
        <w:numPr>
          <w:ilvl w:val="0"/>
          <w:numId w:val="1"/>
        </w:numPr>
        <w:tabs>
          <w:tab w:val="left" w:pos="39"/>
        </w:tabs>
        <w:spacing w:after="0" w:line="240" w:lineRule="auto"/>
        <w:ind w:left="0" w:firstLine="0"/>
        <w:jc w:val="both"/>
        <w:rPr>
          <w:rFonts w:ascii="Times New Roman" w:hAnsi="Times New Roman" w:cs="Times New Roman"/>
          <w:sz w:val="20"/>
          <w:szCs w:val="20"/>
          <w:lang w:val="kk-KZ"/>
        </w:rPr>
      </w:pPr>
      <w:r>
        <w:rPr>
          <w:rFonts w:ascii="Times New Roman" w:hAnsi="Times New Roman" w:cs="Times New Roman"/>
          <w:sz w:val="20"/>
          <w:szCs w:val="20"/>
          <w:lang w:val="kk-KZ"/>
        </w:rPr>
        <w:t>Охотский Е.В. Государственное антикризисное управление -М.: Юрайт, 2023-371 с.</w:t>
      </w:r>
    </w:p>
    <w:p w14:paraId="33ECB823" w14:textId="77777777" w:rsidR="00A77140" w:rsidRDefault="00A77140" w:rsidP="00A77140">
      <w:pPr>
        <w:pStyle w:val="a4"/>
        <w:numPr>
          <w:ilvl w:val="0"/>
          <w:numId w:val="1"/>
        </w:numPr>
        <w:tabs>
          <w:tab w:val="left" w:pos="39"/>
        </w:tabs>
        <w:spacing w:after="0"/>
        <w:ind w:left="0" w:firstLine="0"/>
        <w:jc w:val="both"/>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Попова Е.П., Минченко О.С., Ларионов А.В. и др. Государственное управление: теория, функции, механизмы-М.: НИУ ВШЭ, 2022-220 с.</w:t>
      </w:r>
    </w:p>
    <w:p w14:paraId="1B60F008" w14:textId="77777777" w:rsidR="00A77140" w:rsidRDefault="00A77140" w:rsidP="00A77140">
      <w:pPr>
        <w:pStyle w:val="a4"/>
        <w:numPr>
          <w:ilvl w:val="0"/>
          <w:numId w:val="1"/>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Рязанов, В. А. Антикризисное  противодействие – М.: Юрайт, 2023-103 с.</w:t>
      </w:r>
    </w:p>
    <w:p w14:paraId="70E52A29" w14:textId="77777777" w:rsidR="00A77140" w:rsidRDefault="00A77140" w:rsidP="00A77140">
      <w:pPr>
        <w:pStyle w:val="a4"/>
        <w:numPr>
          <w:ilvl w:val="0"/>
          <w:numId w:val="1"/>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2020 - 169</w:t>
      </w:r>
      <w:proofErr w:type="gramEnd"/>
    </w:p>
    <w:p w14:paraId="228F5D22" w14:textId="77777777" w:rsidR="00A77140" w:rsidRDefault="00A77140" w:rsidP="00A77140">
      <w:pPr>
        <w:spacing w:line="256" w:lineRule="auto"/>
        <w:rPr>
          <w:rFonts w:ascii="Times New Roman" w:hAnsi="Times New Roman" w:cs="Times New Roman"/>
          <w:sz w:val="20"/>
          <w:szCs w:val="20"/>
          <w:lang w:val="kk-KZ"/>
        </w:rPr>
      </w:pPr>
    </w:p>
    <w:p w14:paraId="70F4AD1A" w14:textId="77777777" w:rsidR="00A77140" w:rsidRDefault="00A77140" w:rsidP="00A77140">
      <w:pPr>
        <w:spacing w:line="256" w:lineRule="auto"/>
        <w:rPr>
          <w:rFonts w:ascii="Times New Roman" w:hAnsi="Times New Roman" w:cs="Times New Roman"/>
          <w:sz w:val="20"/>
          <w:szCs w:val="20"/>
          <w:lang w:val="kk-KZ"/>
        </w:rPr>
      </w:pPr>
      <w:r>
        <w:rPr>
          <w:rFonts w:ascii="Times New Roman" w:hAnsi="Times New Roman" w:cs="Times New Roman"/>
          <w:sz w:val="20"/>
          <w:szCs w:val="20"/>
          <w:lang w:val="kk-KZ"/>
        </w:rPr>
        <w:t>Қосымша әдебиеттер:</w:t>
      </w:r>
    </w:p>
    <w:p w14:paraId="75A1B0C8" w14:textId="77777777" w:rsidR="00A77140" w:rsidRDefault="00A77140" w:rsidP="00A77140">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5707F00D" w14:textId="77777777" w:rsidR="00A77140" w:rsidRDefault="00A77140" w:rsidP="00A77140">
      <w:pPr>
        <w:spacing w:after="0"/>
        <w:rPr>
          <w:rFonts w:ascii="Times New Roman" w:hAnsi="Times New Roman" w:cs="Times New Roman"/>
          <w:sz w:val="20"/>
          <w:szCs w:val="20"/>
          <w:lang w:val="kk-KZ"/>
        </w:rPr>
      </w:pPr>
      <w:r>
        <w:rPr>
          <w:rFonts w:ascii="Times New Roman" w:hAnsi="Times New Roman" w:cs="Times New Roman"/>
          <w:sz w:val="20"/>
          <w:szCs w:val="20"/>
          <w:lang w:val="kk-KZ"/>
        </w:rPr>
        <w:t>2. Оксфорд  экономика сөздігі  = A Dictionary of Economics (Oxford Quick Reference) : сөздік  -Алматы : "Ұлттық аударма бюросы" ҚҚ, 2019 - 606 б.</w:t>
      </w:r>
    </w:p>
    <w:p w14:paraId="66910540" w14:textId="77777777" w:rsidR="00A77140" w:rsidRDefault="00A77140" w:rsidP="00A77140">
      <w:pPr>
        <w:spacing w:after="0"/>
        <w:rPr>
          <w:rFonts w:ascii="Times New Roman" w:hAnsi="Times New Roman" w:cs="Times New Roman"/>
          <w:sz w:val="20"/>
          <w:szCs w:val="20"/>
          <w:lang w:val="kk-KZ"/>
        </w:rPr>
      </w:pPr>
      <w:r>
        <w:rPr>
          <w:rFonts w:ascii="Times New Roman" w:hAnsi="Times New Roman" w:cs="Times New Roman"/>
          <w:sz w:val="20"/>
          <w:szCs w:val="20"/>
          <w:lang w:val="kk-KZ"/>
        </w:rPr>
        <w:t>3.Уилтон, Ник. HR-менеджментке кіріспе = An Introduction to Human Resource Management - Алматы: "Ұлттық аударма бюросы" ҚҚ, 2019. — 531 б.</w:t>
      </w:r>
    </w:p>
    <w:p w14:paraId="648362FB" w14:textId="77777777" w:rsidR="00A77140" w:rsidRDefault="00A77140" w:rsidP="00A77140">
      <w:pPr>
        <w:spacing w:after="0"/>
        <w:rPr>
          <w:rFonts w:ascii="Times New Roman" w:hAnsi="Times New Roman" w:cs="Times New Roman"/>
          <w:sz w:val="20"/>
          <w:szCs w:val="20"/>
          <w:lang w:val="kk-KZ"/>
        </w:rPr>
      </w:pPr>
      <w:r>
        <w:rPr>
          <w:rFonts w:ascii="Times New Roman" w:hAnsi="Times New Roman" w:cs="Times New Roman"/>
          <w:sz w:val="20"/>
          <w:szCs w:val="20"/>
          <w:lang w:val="kk-KZ"/>
        </w:rPr>
        <w:t>4. Р. У. Гриффин Менеджмент = Management  - Астана: "Ұлттық аударма бюросы" ҚҚ, 2018 - 766 б.</w:t>
      </w:r>
    </w:p>
    <w:p w14:paraId="1F792541" w14:textId="77777777" w:rsidR="00A77140" w:rsidRDefault="00A77140" w:rsidP="00A77140">
      <w:pPr>
        <w:spacing w:after="0"/>
        <w:rPr>
          <w:rFonts w:ascii="Times New Roman" w:hAnsi="Times New Roman" w:cs="Times New Roman"/>
          <w:sz w:val="20"/>
          <w:szCs w:val="20"/>
          <w:lang w:val="kk-KZ"/>
        </w:rPr>
      </w:pPr>
      <w:r>
        <w:rPr>
          <w:rFonts w:ascii="Times New Roman" w:hAnsi="Times New Roman" w:cs="Times New Roman"/>
          <w:sz w:val="20"/>
          <w:szCs w:val="20"/>
          <w:lang w:val="kk-KZ"/>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59701F0" w14:textId="77777777" w:rsidR="00A77140" w:rsidRDefault="00A77140" w:rsidP="00A77140">
      <w:pPr>
        <w:spacing w:after="0"/>
        <w:rPr>
          <w:rFonts w:ascii="Times New Roman" w:hAnsi="Times New Roman" w:cs="Times New Roman"/>
          <w:sz w:val="20"/>
          <w:szCs w:val="20"/>
          <w:lang w:val="kk-KZ"/>
        </w:rPr>
      </w:pPr>
      <w:r>
        <w:rPr>
          <w:rFonts w:ascii="Times New Roman" w:hAnsi="Times New Roman" w:cs="Times New Roman"/>
          <w:sz w:val="20"/>
          <w:szCs w:val="20"/>
          <w:lang w:val="kk-KZ"/>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D320711" w14:textId="77777777" w:rsidR="00A77140" w:rsidRDefault="00A77140" w:rsidP="00A77140">
      <w:pPr>
        <w:rPr>
          <w:rFonts w:ascii="Times New Roman" w:hAnsi="Times New Roman" w:cs="Times New Roman"/>
          <w:lang w:val="kk-KZ"/>
        </w:rPr>
      </w:pPr>
      <w:r>
        <w:rPr>
          <w:rFonts w:ascii="Times New Roman" w:hAnsi="Times New Roman" w:cs="Times New Roman"/>
          <w:sz w:val="20"/>
          <w:szCs w:val="20"/>
          <w:lang w:val="kk-KZ"/>
        </w:rPr>
        <w:t>7. О’Лири, Зина. Зерттеу жобасын жүргізу: негізгі нұсқаулық : монография - Алматы: "Ұлттық аударма бюросы" ҚҚ, 2020 - 470 б</w:t>
      </w:r>
    </w:p>
    <w:p w14:paraId="5345D777" w14:textId="77777777" w:rsidR="00A77140" w:rsidRDefault="00A77140" w:rsidP="00A77140">
      <w:pPr>
        <w:spacing w:line="256" w:lineRule="auto"/>
        <w:rPr>
          <w:rFonts w:ascii="Times New Roman" w:hAnsi="Times New Roman" w:cs="Times New Roman"/>
          <w:sz w:val="20"/>
          <w:szCs w:val="20"/>
          <w:lang w:val="kk-KZ"/>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тар:</w:t>
      </w:r>
    </w:p>
    <w:p w14:paraId="3967C43A" w14:textId="77777777" w:rsidR="00A77140" w:rsidRDefault="00A77140" w:rsidP="00A77140">
      <w:pPr>
        <w:numPr>
          <w:ilvl w:val="0"/>
          <w:numId w:val="2"/>
        </w:numPr>
        <w:spacing w:after="0" w:line="256" w:lineRule="auto"/>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URL: https://www.iprbookshop.ru/79765.html </w:t>
      </w:r>
    </w:p>
    <w:p w14:paraId="5CDFB04C" w14:textId="77777777" w:rsidR="00A77140" w:rsidRDefault="00000000" w:rsidP="00A77140">
      <w:pPr>
        <w:numPr>
          <w:ilvl w:val="0"/>
          <w:numId w:val="2"/>
        </w:numPr>
        <w:spacing w:after="0" w:line="256" w:lineRule="auto"/>
        <w:contextualSpacing/>
        <w:rPr>
          <w:rFonts w:ascii="Times New Roman" w:hAnsi="Times New Roman" w:cs="Times New Roman"/>
          <w:color w:val="000000" w:themeColor="text1"/>
          <w:sz w:val="20"/>
          <w:szCs w:val="20"/>
          <w:lang w:val="kk-KZ"/>
        </w:rPr>
      </w:pPr>
      <w:hyperlink r:id="rId5" w:history="1">
        <w:r w:rsidR="00A77140">
          <w:rPr>
            <w:rStyle w:val="a5"/>
            <w:rFonts w:ascii="Times New Roman" w:hAnsi="Times New Roman" w:cs="Times New Roman"/>
            <w:color w:val="000000" w:themeColor="text1"/>
            <w:sz w:val="20"/>
            <w:szCs w:val="20"/>
            <w:lang w:val="kk-KZ"/>
          </w:rPr>
          <w:t>https://urait.ru/bcode/512864</w:t>
        </w:r>
      </w:hyperlink>
      <w:r w:rsidR="00A77140">
        <w:rPr>
          <w:rFonts w:ascii="Times New Roman" w:hAnsi="Times New Roman" w:cs="Times New Roman"/>
          <w:color w:val="000000" w:themeColor="text1"/>
          <w:sz w:val="20"/>
          <w:szCs w:val="20"/>
          <w:lang w:val="kk-KZ"/>
        </w:rPr>
        <w:t>.</w:t>
      </w:r>
    </w:p>
    <w:p w14:paraId="0C7B3B8A" w14:textId="77777777" w:rsidR="00A77140" w:rsidRDefault="00A77140" w:rsidP="00A77140">
      <w:pPr>
        <w:numPr>
          <w:ilvl w:val="0"/>
          <w:numId w:val="2"/>
        </w:numPr>
        <w:spacing w:after="0" w:line="256" w:lineRule="auto"/>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URL: </w:t>
      </w:r>
      <w:hyperlink r:id="rId6" w:history="1">
        <w:r>
          <w:rPr>
            <w:rStyle w:val="a5"/>
            <w:rFonts w:ascii="Times New Roman" w:hAnsi="Times New Roman" w:cs="Times New Roman"/>
            <w:color w:val="000000" w:themeColor="text1"/>
            <w:sz w:val="20"/>
            <w:szCs w:val="20"/>
            <w:lang w:val="kk-KZ"/>
          </w:rPr>
          <w:t>https://urait.ru/bcode/511054</w:t>
        </w:r>
      </w:hyperlink>
    </w:p>
    <w:p w14:paraId="6EA7CE22" w14:textId="77777777" w:rsidR="00A77140" w:rsidRDefault="00000000" w:rsidP="00A77140">
      <w:pPr>
        <w:numPr>
          <w:ilvl w:val="0"/>
          <w:numId w:val="2"/>
        </w:numPr>
        <w:spacing w:after="0" w:line="256" w:lineRule="auto"/>
        <w:contextualSpacing/>
        <w:rPr>
          <w:rFonts w:ascii="Times New Roman" w:hAnsi="Times New Roman" w:cs="Times New Roman"/>
          <w:color w:val="000000" w:themeColor="text1"/>
          <w:sz w:val="20"/>
          <w:szCs w:val="20"/>
          <w:lang w:val="kk-KZ"/>
        </w:rPr>
      </w:pPr>
      <w:hyperlink r:id="rId7" w:history="1">
        <w:r w:rsidR="00A77140">
          <w:rPr>
            <w:rStyle w:val="a5"/>
            <w:rFonts w:ascii="Times New Roman" w:hAnsi="Times New Roman" w:cs="Times New Roman"/>
            <w:color w:val="000000" w:themeColor="text1"/>
            <w:sz w:val="20"/>
            <w:szCs w:val="20"/>
            <w:lang w:val="kk-KZ"/>
          </w:rPr>
          <w:t>URL:https://urait.ru/bcode/510543</w:t>
        </w:r>
      </w:hyperlink>
    </w:p>
    <w:p w14:paraId="369BE69D" w14:textId="77777777" w:rsidR="00A77140" w:rsidRDefault="00A77140" w:rsidP="00A77140">
      <w:pPr>
        <w:numPr>
          <w:ilvl w:val="0"/>
          <w:numId w:val="2"/>
        </w:numPr>
        <w:spacing w:after="0" w:line="256" w:lineRule="auto"/>
        <w:contextualSpacing/>
        <w:rPr>
          <w:rFonts w:ascii="Times New Roman" w:hAnsi="Times New Roman" w:cs="Times New Roman"/>
          <w:color w:val="000000" w:themeColor="text1"/>
          <w:sz w:val="20"/>
          <w:szCs w:val="20"/>
          <w:lang w:val="kk-KZ"/>
        </w:rPr>
      </w:pPr>
      <w:r>
        <w:rPr>
          <w:color w:val="000000" w:themeColor="text1"/>
          <w:sz w:val="20"/>
          <w:szCs w:val="20"/>
          <w:lang w:val="kk-KZ"/>
        </w:rPr>
        <w:t xml:space="preserve"> </w:t>
      </w:r>
      <w:r>
        <w:rPr>
          <w:color w:val="000000" w:themeColor="text1"/>
          <w:sz w:val="20"/>
          <w:szCs w:val="20"/>
          <w:lang w:val="en-US"/>
        </w:rPr>
        <w:t>URL: https://urait.ru/bcod e/520502</w:t>
      </w:r>
    </w:p>
    <w:p w14:paraId="4EE03CEF" w14:textId="77777777" w:rsidR="00A77140" w:rsidRPr="003B783C" w:rsidRDefault="00A77140">
      <w:pPr>
        <w:rPr>
          <w:lang w:val="en-US"/>
        </w:rPr>
      </w:pPr>
    </w:p>
    <w:sectPr w:rsidR="00A77140" w:rsidRPr="003B7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9BB4D5EC"/>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9FE4E65"/>
    <w:multiLevelType w:val="hybridMultilevel"/>
    <w:tmpl w:val="1C321524"/>
    <w:lvl w:ilvl="0" w:tplc="EE8045E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 w15:restartNumberingAfterBreak="0">
    <w:nsid w:val="38C21F0D"/>
    <w:multiLevelType w:val="hybridMultilevel"/>
    <w:tmpl w:val="D98C936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7826119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4716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954105">
    <w:abstractNumId w:val="2"/>
  </w:num>
  <w:num w:numId="4" w16cid:durableId="474445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88"/>
    <w:rsid w:val="001632AF"/>
    <w:rsid w:val="003B783C"/>
    <w:rsid w:val="00A77140"/>
    <w:rsid w:val="00E84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1F68"/>
  <w15:chartTrackingRefBased/>
  <w15:docId w15:val="{75A4FF29-4D5E-43BB-AB7D-04BA0E55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140"/>
    <w:pPr>
      <w:spacing w:line="254" w:lineRule="auto"/>
    </w:pPr>
    <w:rPr>
      <w:kern w:val="0"/>
      <w:sz w:val="21"/>
      <w:szCs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A77140"/>
    <w:rPr>
      <w:kern w:val="0"/>
      <w:sz w:val="21"/>
      <w:szCs w:val="21"/>
      <w14:ligatures w14:val="none"/>
    </w:rPr>
  </w:style>
  <w:style w:type="paragraph" w:styleId="a4">
    <w:name w:val="List Paragraph"/>
    <w:aliases w:val="без абзаца,маркированный,ПАРАГРАФ,List Paragraph"/>
    <w:basedOn w:val="a"/>
    <w:link w:val="a3"/>
    <w:uiPriority w:val="34"/>
    <w:qFormat/>
    <w:rsid w:val="00A77140"/>
    <w:pPr>
      <w:spacing w:line="256" w:lineRule="auto"/>
      <w:ind w:left="720"/>
      <w:contextualSpacing/>
    </w:pPr>
  </w:style>
  <w:style w:type="character" w:styleId="a5">
    <w:name w:val="Hyperlink"/>
    <w:basedOn w:val="a0"/>
    <w:uiPriority w:val="99"/>
    <w:semiHidden/>
    <w:unhideWhenUsed/>
    <w:rsid w:val="00A77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URL:https://urait.ru/bcode/5105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1054" TargetMode="External"/><Relationship Id="rId5" Type="http://schemas.openxmlformats.org/officeDocument/2006/relationships/hyperlink" Target="https://urait.ru/bcode/5128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1967</Words>
  <Characters>11216</Characters>
  <Application>Microsoft Office Word</Application>
  <DocSecurity>0</DocSecurity>
  <Lines>93</Lines>
  <Paragraphs>26</Paragraphs>
  <ScaleCrop>false</ScaleCrop>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3</cp:revision>
  <dcterms:created xsi:type="dcterms:W3CDTF">2023-09-16T11:55:00Z</dcterms:created>
  <dcterms:modified xsi:type="dcterms:W3CDTF">2023-09-23T13:47:00Z</dcterms:modified>
</cp:coreProperties>
</file>